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D53" w:rsidRDefault="009F2D53" w:rsidP="009F2D53">
      <w:pPr>
        <w:spacing w:after="0" w:line="480" w:lineRule="auto"/>
        <w:jc w:val="center"/>
        <w:rPr>
          <w:rFonts w:ascii="Times New Roman" w:hAnsi="Times New Roman" w:cs="Times New Roman"/>
          <w:sz w:val="24"/>
          <w:szCs w:val="24"/>
        </w:rPr>
      </w:pPr>
    </w:p>
    <w:p w:rsidR="009F2D53" w:rsidRDefault="009F2D53" w:rsidP="009F2D53">
      <w:pPr>
        <w:spacing w:after="0" w:line="480" w:lineRule="auto"/>
        <w:jc w:val="center"/>
        <w:rPr>
          <w:rFonts w:ascii="Times New Roman" w:hAnsi="Times New Roman" w:cs="Times New Roman"/>
          <w:sz w:val="24"/>
          <w:szCs w:val="24"/>
        </w:rPr>
      </w:pPr>
    </w:p>
    <w:p w:rsidR="009F2D53" w:rsidRDefault="009F2D53" w:rsidP="009F2D53">
      <w:pPr>
        <w:spacing w:after="0" w:line="480" w:lineRule="auto"/>
        <w:jc w:val="center"/>
        <w:rPr>
          <w:rFonts w:ascii="Times New Roman" w:hAnsi="Times New Roman" w:cs="Times New Roman"/>
          <w:sz w:val="24"/>
          <w:szCs w:val="24"/>
        </w:rPr>
      </w:pPr>
    </w:p>
    <w:p w:rsidR="009F2D53" w:rsidRDefault="009F2D53" w:rsidP="009F2D53">
      <w:pPr>
        <w:spacing w:after="0" w:line="480" w:lineRule="auto"/>
        <w:jc w:val="center"/>
        <w:rPr>
          <w:rFonts w:ascii="Times New Roman" w:hAnsi="Times New Roman" w:cs="Times New Roman"/>
          <w:sz w:val="24"/>
          <w:szCs w:val="24"/>
        </w:rPr>
      </w:pPr>
    </w:p>
    <w:p w:rsidR="009F2D53" w:rsidRDefault="009F2D53" w:rsidP="009F2D53">
      <w:pPr>
        <w:spacing w:after="0" w:line="480" w:lineRule="auto"/>
        <w:jc w:val="center"/>
        <w:rPr>
          <w:rFonts w:ascii="Times New Roman" w:hAnsi="Times New Roman" w:cs="Times New Roman"/>
          <w:sz w:val="24"/>
          <w:szCs w:val="24"/>
        </w:rPr>
      </w:pP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Prepared For UMUC </w:t>
      </w: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Investigative Collection of Evidence </w:t>
      </w: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Taylor McGee</w:t>
      </w: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CCJS 321 6385 Digital Forensics in the criminal justice system </w:t>
      </w: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September 22, 2019 </w:t>
      </w:r>
    </w:p>
    <w:p w:rsidR="009F2D53" w:rsidRDefault="009F2D53" w:rsidP="009F2D53">
      <w:pPr>
        <w:spacing w:after="0" w:line="480" w:lineRule="auto"/>
        <w:jc w:val="center"/>
        <w:rPr>
          <w:rFonts w:ascii="Times New Roman" w:hAnsi="Times New Roman" w:cs="Times New Roman"/>
          <w:sz w:val="24"/>
          <w:szCs w:val="24"/>
        </w:rPr>
      </w:pPr>
    </w:p>
    <w:p w:rsidR="009F2D53" w:rsidRDefault="009F2D53">
      <w:r>
        <w:br w:type="page"/>
      </w:r>
    </w:p>
    <w:p w:rsidR="009F2D53" w:rsidRDefault="009F2D53" w:rsidP="009F2D53">
      <w:pPr>
        <w:jc w:val="center"/>
        <w:rPr>
          <w:rFonts w:ascii="Times New Roman" w:hAnsi="Times New Roman" w:cs="Times New Roman"/>
          <w:b/>
          <w:sz w:val="24"/>
        </w:rPr>
      </w:pPr>
      <w:r>
        <w:rPr>
          <w:rFonts w:ascii="Times New Roman" w:hAnsi="Times New Roman" w:cs="Times New Roman"/>
          <w:sz w:val="24"/>
          <w:szCs w:val="24"/>
        </w:rPr>
        <w:lastRenderedPageBreak/>
        <w:t>Digital Forensics in the criminal justice system</w:t>
      </w:r>
    </w:p>
    <w:p w:rsidR="00893AE8" w:rsidRPr="009F2D53" w:rsidRDefault="009F2D53">
      <w:pPr>
        <w:rPr>
          <w:rFonts w:ascii="Times New Roman" w:hAnsi="Times New Roman" w:cs="Times New Roman"/>
          <w:b/>
          <w:sz w:val="24"/>
        </w:rPr>
      </w:pPr>
      <w:r w:rsidRPr="009F2D53">
        <w:rPr>
          <w:rFonts w:ascii="Times New Roman" w:hAnsi="Times New Roman" w:cs="Times New Roman"/>
          <w:b/>
          <w:sz w:val="24"/>
        </w:rPr>
        <w:t xml:space="preserve">Q.1 </w:t>
      </w:r>
    </w:p>
    <w:p w:rsidR="009F2D53" w:rsidRPr="00150827" w:rsidRDefault="009F2D53" w:rsidP="009F2D53">
      <w:pPr>
        <w:spacing w:after="0" w:line="480" w:lineRule="auto"/>
        <w:rPr>
          <w:rFonts w:ascii="Times New Roman" w:hAnsi="Times New Roman" w:cs="Times New Roman"/>
          <w:sz w:val="24"/>
          <w:szCs w:val="24"/>
        </w:rPr>
      </w:pPr>
      <w:r w:rsidRPr="00150827">
        <w:rPr>
          <w:rFonts w:ascii="Times New Roman" w:hAnsi="Times New Roman" w:cs="Times New Roman"/>
          <w:sz w:val="24"/>
          <w:szCs w:val="24"/>
        </w:rPr>
        <w:t>The incident occurred upon a suspicion by McPherson the Director of the company that Mr. Belcamp might have either stole or shared the source code of Product X.  The McPherson’s suspicion resulted from the remarks made by Mr. Belcamp during his exit interview statement. This statement during exit interview by Mr. Belcamp created relevant reasons that fueled a search to his belongings. The search was not only limited to the Belcamp’s belongings but also to all areas within the company that he had access to. The authorization of search came from the McPherson, the company Director. Since the search exercise was only limited to the properties of the company, such seizure was reasonable based on the consent form the owner of the company</w:t>
      </w:r>
      <w:r>
        <w:rPr>
          <w:rFonts w:ascii="Times New Roman" w:hAnsi="Times New Roman" w:cs="Times New Roman"/>
          <w:sz w:val="24"/>
          <w:szCs w:val="24"/>
        </w:rPr>
        <w:t xml:space="preserve"> (Carr, </w:t>
      </w:r>
      <w:r w:rsidRPr="00B768A8">
        <w:rPr>
          <w:rFonts w:ascii="Times New Roman" w:hAnsi="Times New Roman" w:cs="Times New Roman"/>
          <w:sz w:val="24"/>
          <w:szCs w:val="24"/>
        </w:rPr>
        <w:t>2018</w:t>
      </w:r>
      <w:r>
        <w:rPr>
          <w:rFonts w:ascii="Times New Roman" w:hAnsi="Times New Roman" w:cs="Times New Roman"/>
          <w:sz w:val="24"/>
          <w:szCs w:val="24"/>
        </w:rPr>
        <w:t>)</w:t>
      </w:r>
      <w:r w:rsidRPr="00150827">
        <w:rPr>
          <w:rFonts w:ascii="Times New Roman" w:hAnsi="Times New Roman" w:cs="Times New Roman"/>
          <w:sz w:val="24"/>
          <w:szCs w:val="24"/>
        </w:rPr>
        <w:t xml:space="preserve">. As, such, the need for search warrant from the court was not so relevant since the consent was made by McPherson. However, getting a warrant from the authority would turn such exercise lawful and pave way for the enforcement of the law to the culprits.  </w:t>
      </w:r>
    </w:p>
    <w:p w:rsidR="009F2D53" w:rsidRDefault="009F2D53" w:rsidP="009F2D53">
      <w:pPr>
        <w:spacing w:after="0" w:line="480" w:lineRule="auto"/>
        <w:ind w:firstLine="360"/>
        <w:rPr>
          <w:rFonts w:ascii="Times New Roman" w:hAnsi="Times New Roman" w:cs="Times New Roman"/>
          <w:sz w:val="24"/>
          <w:szCs w:val="24"/>
        </w:rPr>
      </w:pPr>
      <w:r w:rsidRPr="00150827">
        <w:rPr>
          <w:rFonts w:ascii="Times New Roman" w:hAnsi="Times New Roman" w:cs="Times New Roman"/>
          <w:sz w:val="24"/>
          <w:szCs w:val="24"/>
        </w:rPr>
        <w:t>Prior to searching exercise, I would first get the searching warrant from the CEO as the Find law (2015) indicates. It says that, an employee is obliged to examine the staff workspace since such areas are the property of the employer and thus the employees have no presumptions of privacy under these areas. However, the search in these areas would be cautious as not to make search on personal items. It would be a violation of the Fourth Amendments Rights that prohibits searches of employee’s personal items</w:t>
      </w:r>
      <w:r>
        <w:rPr>
          <w:rFonts w:ascii="Times New Roman" w:hAnsi="Times New Roman" w:cs="Times New Roman"/>
          <w:sz w:val="24"/>
          <w:szCs w:val="24"/>
        </w:rPr>
        <w:t xml:space="preserve"> (</w:t>
      </w:r>
      <w:r w:rsidRPr="00F97625">
        <w:rPr>
          <w:rFonts w:ascii="Times New Roman" w:hAnsi="Times New Roman" w:cs="Times New Roman"/>
          <w:sz w:val="24"/>
          <w:szCs w:val="24"/>
        </w:rPr>
        <w:t xml:space="preserve">Grimm, </w:t>
      </w:r>
      <w:r>
        <w:rPr>
          <w:rFonts w:ascii="Times New Roman" w:hAnsi="Times New Roman" w:cs="Times New Roman"/>
          <w:sz w:val="24"/>
          <w:szCs w:val="24"/>
        </w:rPr>
        <w:t>Capra, &amp; Joseph, G.</w:t>
      </w:r>
      <w:r w:rsidRPr="00F97625">
        <w:rPr>
          <w:rFonts w:ascii="Times New Roman" w:hAnsi="Times New Roman" w:cs="Times New Roman"/>
          <w:sz w:val="24"/>
          <w:szCs w:val="24"/>
        </w:rPr>
        <w:t>2017).</w:t>
      </w:r>
      <w:r w:rsidRPr="00150827">
        <w:rPr>
          <w:rFonts w:ascii="Times New Roman" w:hAnsi="Times New Roman" w:cs="Times New Roman"/>
          <w:sz w:val="24"/>
          <w:szCs w:val="24"/>
        </w:rPr>
        <w:t xml:space="preserve"> Since Mr. Belcamp no longer work in the company, the former work area he used to operate from is no longer his. Therefore, if in any case Mr. Belcamp try to claim the invasion of his privacy, to company have an absolute defense based searches policy within its premises. </w:t>
      </w:r>
    </w:p>
    <w:p w:rsidR="009F2D53" w:rsidRPr="009F2D53" w:rsidRDefault="009F2D53">
      <w:pPr>
        <w:rPr>
          <w:rFonts w:ascii="Times New Roman" w:hAnsi="Times New Roman" w:cs="Times New Roman"/>
          <w:b/>
          <w:sz w:val="24"/>
        </w:rPr>
      </w:pPr>
      <w:r w:rsidRPr="009F2D53">
        <w:rPr>
          <w:rFonts w:ascii="Times New Roman" w:hAnsi="Times New Roman" w:cs="Times New Roman"/>
          <w:b/>
          <w:sz w:val="24"/>
        </w:rPr>
        <w:t>Q2.</w:t>
      </w:r>
    </w:p>
    <w:p w:rsidR="009F2D53" w:rsidRPr="00822B42" w:rsidRDefault="009F2D53" w:rsidP="009F2D53">
      <w:pPr>
        <w:spacing w:after="0" w:line="480" w:lineRule="auto"/>
        <w:ind w:firstLine="720"/>
        <w:rPr>
          <w:rFonts w:ascii="Times New Roman" w:hAnsi="Times New Roman" w:cs="Times New Roman"/>
          <w:sz w:val="24"/>
          <w:szCs w:val="24"/>
        </w:rPr>
      </w:pPr>
      <w:r w:rsidRPr="00822B42">
        <w:rPr>
          <w:rFonts w:ascii="Times New Roman" w:hAnsi="Times New Roman" w:cs="Times New Roman"/>
          <w:sz w:val="24"/>
          <w:szCs w:val="24"/>
        </w:rPr>
        <w:lastRenderedPageBreak/>
        <w:t xml:space="preserve">A laptop, hard drives, and thumb drive in the image of Mr. </w:t>
      </w:r>
      <w:r>
        <w:rPr>
          <w:rFonts w:ascii="Times New Roman" w:hAnsi="Times New Roman" w:cs="Times New Roman"/>
          <w:sz w:val="24"/>
          <w:szCs w:val="24"/>
        </w:rPr>
        <w:t xml:space="preserve">Belcamp’s </w:t>
      </w:r>
      <w:r w:rsidRPr="00822B42">
        <w:rPr>
          <w:rFonts w:ascii="Times New Roman" w:hAnsi="Times New Roman" w:cs="Times New Roman"/>
          <w:sz w:val="24"/>
          <w:szCs w:val="24"/>
        </w:rPr>
        <w:t>workspace combines the three digital authentications. Safety of the place and removal of hazards takes priority. The screen, laptop, and the current condition should be covered, and other things are covered carefully. The data is moved to avoid corruption of hard disks by electronic emissions. People doing that task should be coached to prevent tampering with factual data. Computers should be in good condition, and data be untouched by anyone</w:t>
      </w:r>
      <w:r>
        <w:rPr>
          <w:rFonts w:ascii="Times New Roman" w:hAnsi="Times New Roman" w:cs="Times New Roman"/>
          <w:sz w:val="24"/>
          <w:szCs w:val="24"/>
        </w:rPr>
        <w:t xml:space="preserve"> (</w:t>
      </w:r>
      <w:r w:rsidRPr="00F97625">
        <w:rPr>
          <w:rFonts w:ascii="Times New Roman" w:hAnsi="Times New Roman" w:cs="Times New Roman"/>
          <w:sz w:val="24"/>
          <w:szCs w:val="24"/>
        </w:rPr>
        <w:t xml:space="preserve">Grimm, </w:t>
      </w:r>
      <w:r>
        <w:rPr>
          <w:rFonts w:ascii="Times New Roman" w:hAnsi="Times New Roman" w:cs="Times New Roman"/>
          <w:sz w:val="24"/>
          <w:szCs w:val="24"/>
        </w:rPr>
        <w:t>Capra, &amp; Joseph, G.</w:t>
      </w:r>
      <w:r w:rsidRPr="00F97625">
        <w:rPr>
          <w:rFonts w:ascii="Times New Roman" w:hAnsi="Times New Roman" w:cs="Times New Roman"/>
          <w:sz w:val="24"/>
          <w:szCs w:val="24"/>
        </w:rPr>
        <w:t>2017).</w:t>
      </w:r>
      <w:r w:rsidRPr="00822B42">
        <w:rPr>
          <w:rFonts w:ascii="Times New Roman" w:hAnsi="Times New Roman" w:cs="Times New Roman"/>
          <w:sz w:val="24"/>
          <w:szCs w:val="24"/>
        </w:rPr>
        <w:t xml:space="preserve"> Data encryption of digital data should not be compromised under the investigator's watch.      </w:t>
      </w:r>
    </w:p>
    <w:p w:rsidR="009F2D53" w:rsidRPr="00822B42" w:rsidRDefault="009F2D53" w:rsidP="009F2D53">
      <w:pPr>
        <w:spacing w:after="0" w:line="480" w:lineRule="auto"/>
        <w:ind w:firstLine="720"/>
        <w:rPr>
          <w:rFonts w:ascii="Times New Roman" w:hAnsi="Times New Roman" w:cs="Times New Roman"/>
          <w:sz w:val="24"/>
          <w:szCs w:val="24"/>
        </w:rPr>
      </w:pPr>
      <w:r w:rsidRPr="00822B42">
        <w:rPr>
          <w:rFonts w:ascii="Times New Roman" w:hAnsi="Times New Roman" w:cs="Times New Roman"/>
          <w:sz w:val="24"/>
          <w:szCs w:val="24"/>
        </w:rPr>
        <w:t>The first digital evidence that needs to be collected is the Dell laptop. The steps need to be taken to secure and seize the laptop are, first, take a photograph of the computer. Then draw the scene, diagram, and label any cords that might be connected to the laptop. If the laptop is turned off, then do not turn the laptop ba</w:t>
      </w:r>
      <w:r w:rsidR="00602328">
        <w:rPr>
          <w:rFonts w:ascii="Times New Roman" w:hAnsi="Times New Roman" w:cs="Times New Roman"/>
          <w:sz w:val="24"/>
          <w:szCs w:val="24"/>
        </w:rPr>
        <w:t xml:space="preserve">ck on. If it's off, then I would disconnect it from any power cable, confirm the battery and unplug it from PC. In case the </w:t>
      </w:r>
      <w:r w:rsidRPr="00822B42">
        <w:rPr>
          <w:rFonts w:ascii="Times New Roman" w:hAnsi="Times New Roman" w:cs="Times New Roman"/>
          <w:sz w:val="24"/>
          <w:szCs w:val="24"/>
        </w:rPr>
        <w:t>laptop is on,</w:t>
      </w:r>
      <w:r w:rsidR="00602328">
        <w:rPr>
          <w:rFonts w:ascii="Times New Roman" w:hAnsi="Times New Roman" w:cs="Times New Roman"/>
          <w:sz w:val="24"/>
          <w:szCs w:val="24"/>
        </w:rPr>
        <w:t xml:space="preserve"> hold the mouse and move is slightly of a rough surface so that</w:t>
      </w:r>
      <w:r w:rsidRPr="00822B42">
        <w:rPr>
          <w:rFonts w:ascii="Times New Roman" w:hAnsi="Times New Roman" w:cs="Times New Roman"/>
          <w:sz w:val="24"/>
          <w:szCs w:val="24"/>
        </w:rPr>
        <w:t xml:space="preserve"> the picture</w:t>
      </w:r>
      <w:r w:rsidR="00602328">
        <w:rPr>
          <w:rFonts w:ascii="Times New Roman" w:hAnsi="Times New Roman" w:cs="Times New Roman"/>
          <w:sz w:val="24"/>
          <w:szCs w:val="24"/>
        </w:rPr>
        <w:t xml:space="preserve"> would pop up on</w:t>
      </w:r>
      <w:r w:rsidRPr="00822B42">
        <w:rPr>
          <w:rFonts w:ascii="Times New Roman" w:hAnsi="Times New Roman" w:cs="Times New Roman"/>
          <w:sz w:val="24"/>
          <w:szCs w:val="24"/>
        </w:rPr>
        <w:t xml:space="preserve"> the screen and</w:t>
      </w:r>
      <w:r w:rsidR="00602328">
        <w:rPr>
          <w:rFonts w:ascii="Times New Roman" w:hAnsi="Times New Roman" w:cs="Times New Roman"/>
          <w:sz w:val="24"/>
          <w:szCs w:val="24"/>
        </w:rPr>
        <w:t xml:space="preserve"> one can take its photo</w:t>
      </w:r>
      <w:r>
        <w:rPr>
          <w:rFonts w:ascii="Times New Roman" w:hAnsi="Times New Roman" w:cs="Times New Roman"/>
          <w:sz w:val="24"/>
          <w:szCs w:val="24"/>
        </w:rPr>
        <w:t xml:space="preserve"> (</w:t>
      </w:r>
      <w:r w:rsidRPr="006C2155">
        <w:rPr>
          <w:rFonts w:ascii="Times New Roman" w:hAnsi="Times New Roman" w:cs="Times New Roman"/>
          <w:sz w:val="24"/>
          <w:szCs w:val="24"/>
        </w:rPr>
        <w:t xml:space="preserve">Casey, Back, &amp; </w:t>
      </w:r>
      <w:r>
        <w:rPr>
          <w:rFonts w:ascii="Times New Roman" w:hAnsi="Times New Roman" w:cs="Times New Roman"/>
          <w:sz w:val="24"/>
          <w:szCs w:val="24"/>
        </w:rPr>
        <w:t>Barnum, 2015)</w:t>
      </w:r>
      <w:r w:rsidRPr="00822B42">
        <w:rPr>
          <w:rFonts w:ascii="Times New Roman" w:hAnsi="Times New Roman" w:cs="Times New Roman"/>
          <w:sz w:val="24"/>
          <w:szCs w:val="24"/>
        </w:rPr>
        <w:t>. If the computer is asleep, wake it up from sleep mode. Then take a picture of the laptop. Note the current program, which is if the laptop is wake up from sleep mode, then take a photograph of the laptop, note the current program, which is "two hard drives.</w:t>
      </w:r>
    </w:p>
    <w:p w:rsidR="009F2D53" w:rsidRDefault="009F2D53" w:rsidP="009F2D53">
      <w:pPr>
        <w:spacing w:after="0" w:line="480" w:lineRule="auto"/>
        <w:ind w:firstLine="720"/>
        <w:rPr>
          <w:rFonts w:ascii="Times New Roman" w:hAnsi="Times New Roman" w:cs="Times New Roman"/>
          <w:sz w:val="24"/>
          <w:szCs w:val="24"/>
        </w:rPr>
      </w:pPr>
      <w:r w:rsidRPr="00822B42">
        <w:rPr>
          <w:rFonts w:ascii="Times New Roman" w:hAnsi="Times New Roman" w:cs="Times New Roman"/>
          <w:sz w:val="24"/>
          <w:szCs w:val="24"/>
        </w:rPr>
        <w:t xml:space="preserve">The steps which need to be taken to secure the two hard drives are as follows. First, photograph the first hard drive on the desk — secondly, package with proper material the hard drive and transport device as fragile cargo. Thirdly, Photograph the second hard drive on the docking station. Fourth, diagram and label any cords from the docking station that might be connected. The fifth, verify that the Hard Drive is not "active" by looking in the monitor. If the </w:t>
      </w:r>
      <w:r w:rsidRPr="00822B42">
        <w:rPr>
          <w:rFonts w:ascii="Times New Roman" w:hAnsi="Times New Roman" w:cs="Times New Roman"/>
          <w:sz w:val="24"/>
          <w:szCs w:val="24"/>
        </w:rPr>
        <w:lastRenderedPageBreak/>
        <w:t xml:space="preserve">hard drive is active in the monitor, then take a photograph of the monitor and begin shutdown sequence of the docking station. The final step, add both hard drives items to the chain of custody log. Remember </w:t>
      </w:r>
      <w:r w:rsidR="008D5387">
        <w:rPr>
          <w:rFonts w:ascii="Times New Roman" w:hAnsi="Times New Roman" w:cs="Times New Roman"/>
          <w:sz w:val="24"/>
          <w:szCs w:val="24"/>
        </w:rPr>
        <w:t xml:space="preserve">store </w:t>
      </w:r>
      <w:r w:rsidRPr="00822B42">
        <w:rPr>
          <w:rFonts w:ascii="Times New Roman" w:hAnsi="Times New Roman" w:cs="Times New Roman"/>
          <w:sz w:val="24"/>
          <w:szCs w:val="24"/>
        </w:rPr>
        <w:t xml:space="preserve">hard drives away from </w:t>
      </w:r>
      <w:r w:rsidR="00257349">
        <w:rPr>
          <w:rFonts w:ascii="Times New Roman" w:hAnsi="Times New Roman" w:cs="Times New Roman"/>
          <w:sz w:val="24"/>
          <w:szCs w:val="24"/>
        </w:rPr>
        <w:t>any magnetic material since</w:t>
      </w:r>
      <w:r w:rsidRPr="00822B42">
        <w:rPr>
          <w:rFonts w:ascii="Times New Roman" w:hAnsi="Times New Roman" w:cs="Times New Roman"/>
          <w:sz w:val="24"/>
          <w:szCs w:val="24"/>
        </w:rPr>
        <w:t xml:space="preserve"> the platters that are inside the hard drives are magnetically changed. The Flash Drives</w:t>
      </w:r>
      <w:r w:rsidR="00A46B8F">
        <w:rPr>
          <w:rFonts w:ascii="Times New Roman" w:hAnsi="Times New Roman" w:cs="Times New Roman"/>
          <w:sz w:val="24"/>
          <w:szCs w:val="24"/>
        </w:rPr>
        <w:t xml:space="preserve"> can be used as the key for encryption on tools such as </w:t>
      </w:r>
      <w:r w:rsidRPr="00822B42">
        <w:rPr>
          <w:rFonts w:ascii="Times New Roman" w:hAnsi="Times New Roman" w:cs="Times New Roman"/>
          <w:sz w:val="24"/>
          <w:szCs w:val="24"/>
        </w:rPr>
        <w:t>BitLocker Drive Encryption. Steps were taken in security the USB Flash Drives are similar, Take a photograph of the Flash Drive, Package with proper material and transport device as fragile cargo.</w:t>
      </w:r>
    </w:p>
    <w:p w:rsidR="009F2D53" w:rsidRPr="00916F04" w:rsidRDefault="009F2D53" w:rsidP="009F2D53">
      <w:pPr>
        <w:spacing w:after="0" w:line="480" w:lineRule="auto"/>
        <w:rPr>
          <w:rFonts w:ascii="Times New Roman" w:hAnsi="Times New Roman" w:cs="Times New Roman"/>
          <w:b/>
          <w:sz w:val="24"/>
          <w:szCs w:val="24"/>
        </w:rPr>
      </w:pPr>
    </w:p>
    <w:p w:rsidR="009F2D53" w:rsidRPr="009F2D53" w:rsidRDefault="009F2D53">
      <w:pPr>
        <w:rPr>
          <w:rFonts w:ascii="Times New Roman" w:hAnsi="Times New Roman" w:cs="Times New Roman"/>
          <w:b/>
          <w:sz w:val="24"/>
        </w:rPr>
      </w:pPr>
      <w:r w:rsidRPr="009F2D53">
        <w:rPr>
          <w:rFonts w:ascii="Times New Roman" w:hAnsi="Times New Roman" w:cs="Times New Roman"/>
          <w:b/>
          <w:sz w:val="24"/>
        </w:rPr>
        <w:t xml:space="preserve">Q3. </w:t>
      </w:r>
    </w:p>
    <w:p w:rsidR="009F2D53" w:rsidRPr="00F81461" w:rsidRDefault="009F2D53" w:rsidP="009F2D53">
      <w:pPr>
        <w:spacing w:after="0" w:line="480" w:lineRule="auto"/>
        <w:ind w:firstLine="720"/>
        <w:jc w:val="both"/>
        <w:rPr>
          <w:rFonts w:ascii="Times New Roman" w:hAnsi="Times New Roman" w:cs="Times New Roman"/>
          <w:color w:val="000000" w:themeColor="text1"/>
          <w:sz w:val="24"/>
          <w:szCs w:val="24"/>
          <w:shd w:val="clear" w:color="auto" w:fill="FFFFFF"/>
        </w:rPr>
      </w:pPr>
      <w:r w:rsidRPr="00F81461">
        <w:rPr>
          <w:rFonts w:ascii="Times New Roman" w:hAnsi="Times New Roman" w:cs="Times New Roman"/>
          <w:color w:val="000000" w:themeColor="text1"/>
          <w:sz w:val="24"/>
          <w:szCs w:val="24"/>
          <w:shd w:val="clear" w:color="auto" w:fill="FFFFFF"/>
        </w:rPr>
        <w:t>The NASA Notepad, Post-ItNotes, and Manila folder form significant a non-digital evidence group that ought to be seized. In the work area, houses three post-it Notes are evident.  The first Post-It Note is located ahead of the thumb drive that is housed by the desk.  The top shelf on the left forms an attachment of the second Post-It Note while the monitor attaches the third one listed. The top shelf holds the manila folder on it while the notepad is nearer to the monitor. Notably, in front of the thumb drive, the first post-it note is evident bearing “purple 743” as its phrase. However, this might not be well described; it might be either codename, passwords, or partial email address</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Casey, Back, </w:t>
      </w:r>
      <w:r w:rsidRPr="006C2155">
        <w:rPr>
          <w:rFonts w:ascii="Times New Roman" w:hAnsi="Times New Roman" w:cs="Times New Roman"/>
          <w:sz w:val="24"/>
          <w:szCs w:val="24"/>
        </w:rPr>
        <w:t xml:space="preserve">&amp; </w:t>
      </w:r>
      <w:r>
        <w:rPr>
          <w:rFonts w:ascii="Times New Roman" w:hAnsi="Times New Roman" w:cs="Times New Roman"/>
          <w:sz w:val="24"/>
          <w:szCs w:val="24"/>
        </w:rPr>
        <w:t xml:space="preserve">Barnum, </w:t>
      </w:r>
      <w:r w:rsidRPr="006C2155">
        <w:rPr>
          <w:rFonts w:ascii="Times New Roman" w:hAnsi="Times New Roman" w:cs="Times New Roman"/>
          <w:sz w:val="24"/>
          <w:szCs w:val="24"/>
        </w:rPr>
        <w:t>2015</w:t>
      </w:r>
      <w:r>
        <w:rPr>
          <w:rFonts w:ascii="Times New Roman" w:hAnsi="Times New Roman" w:cs="Times New Roman"/>
          <w:sz w:val="24"/>
          <w:szCs w:val="24"/>
        </w:rPr>
        <w:t>)</w:t>
      </w:r>
      <w:r w:rsidR="00CB7799">
        <w:rPr>
          <w:rFonts w:ascii="Times New Roman" w:hAnsi="Times New Roman" w:cs="Times New Roman"/>
          <w:color w:val="000000" w:themeColor="text1"/>
          <w:sz w:val="24"/>
          <w:szCs w:val="24"/>
          <w:shd w:val="clear" w:color="auto" w:fill="FFFFFF"/>
        </w:rPr>
        <w:t>.  Bearing the writings</w:t>
      </w:r>
      <w:r w:rsidR="00CB7799" w:rsidRPr="00F81461">
        <w:rPr>
          <w:rFonts w:ascii="Times New Roman" w:hAnsi="Times New Roman" w:cs="Times New Roman"/>
          <w:color w:val="000000" w:themeColor="text1"/>
          <w:sz w:val="24"/>
          <w:szCs w:val="24"/>
          <w:shd w:val="clear" w:color="auto" w:fill="FFFFFF"/>
        </w:rPr>
        <w:t>“blackberry forwarding, for</w:t>
      </w:r>
      <w:r w:rsidR="00CB7799">
        <w:rPr>
          <w:rFonts w:ascii="Times New Roman" w:hAnsi="Times New Roman" w:cs="Times New Roman"/>
          <w:color w:val="000000" w:themeColor="text1"/>
          <w:sz w:val="24"/>
          <w:szCs w:val="24"/>
          <w:shd w:val="clear" w:color="auto" w:fill="FFFFFF"/>
        </w:rPr>
        <w:t xml:space="preserve">ward dial *72 &lt;number&gt; &lt; sound&gt;, </w:t>
      </w:r>
      <w:r w:rsidRPr="00F81461">
        <w:rPr>
          <w:rFonts w:ascii="Times New Roman" w:hAnsi="Times New Roman" w:cs="Times New Roman"/>
          <w:color w:val="000000" w:themeColor="text1"/>
          <w:sz w:val="24"/>
          <w:szCs w:val="24"/>
          <w:shd w:val="clear" w:color="auto" w:fill="FFFFFF"/>
        </w:rPr>
        <w:t xml:space="preserve">“take off forward dial *73&lt;sound&gt;”, are the third and the second post-it notes. They are located on top of the shelf and the monitor, respectively. Also, the details “Target: Disk 3 ST 1000DM003ICHHI, source, Disk 1 ST3000DM001-9YNI” is the second post-it note that is on the monitor. The post-it notes are essential since they support the case by supplying more detailed that may be technical details, phone numbers, or codes. The next stage that can be used in seizing and securing the items involves taking an individual photograph and surrounding location. Also, recording the text written on the </w:t>
      </w:r>
      <w:r w:rsidRPr="00F81461">
        <w:rPr>
          <w:rFonts w:ascii="Times New Roman" w:hAnsi="Times New Roman" w:cs="Times New Roman"/>
          <w:color w:val="000000" w:themeColor="text1"/>
          <w:sz w:val="24"/>
          <w:szCs w:val="24"/>
          <w:shd w:val="clear" w:color="auto" w:fill="FFFFFF"/>
        </w:rPr>
        <w:lastRenderedPageBreak/>
        <w:t xml:space="preserve">post-it notes, placing the documented text into a standardized envelope, and the last step involves using the linked custody log to document the items. </w:t>
      </w:r>
    </w:p>
    <w:p w:rsidR="009F2D53" w:rsidRPr="00F81461" w:rsidRDefault="009F2D53" w:rsidP="009F2D53">
      <w:pPr>
        <w:spacing w:after="0" w:line="480" w:lineRule="auto"/>
        <w:ind w:firstLine="720"/>
        <w:jc w:val="both"/>
        <w:rPr>
          <w:rFonts w:ascii="Times New Roman" w:hAnsi="Times New Roman" w:cs="Times New Roman"/>
          <w:color w:val="000000" w:themeColor="text1"/>
          <w:sz w:val="24"/>
          <w:szCs w:val="24"/>
          <w:shd w:val="clear" w:color="auto" w:fill="FFFFFF"/>
        </w:rPr>
      </w:pPr>
      <w:r w:rsidRPr="00F81461">
        <w:rPr>
          <w:rFonts w:ascii="Times New Roman" w:hAnsi="Times New Roman" w:cs="Times New Roman"/>
          <w:color w:val="000000" w:themeColor="text1"/>
          <w:sz w:val="24"/>
          <w:szCs w:val="24"/>
          <w:shd w:val="clear" w:color="auto" w:fill="FFFFFF"/>
        </w:rPr>
        <w:t xml:space="preserve">Secondly, the NASA notepad forms </w:t>
      </w:r>
      <w:r w:rsidR="00A56BEF">
        <w:rPr>
          <w:rFonts w:ascii="Times New Roman" w:hAnsi="Times New Roman" w:cs="Times New Roman"/>
          <w:color w:val="000000" w:themeColor="text1"/>
          <w:sz w:val="24"/>
          <w:szCs w:val="24"/>
          <w:shd w:val="clear" w:color="auto" w:fill="FFFFFF"/>
        </w:rPr>
        <w:t>non-digital evidence located on the desk next of the keyboard near the corner</w:t>
      </w:r>
      <w:r w:rsidRPr="00F81461">
        <w:rPr>
          <w:rFonts w:ascii="Times New Roman" w:hAnsi="Times New Roman" w:cs="Times New Roman"/>
          <w:color w:val="000000" w:themeColor="text1"/>
          <w:sz w:val="24"/>
          <w:szCs w:val="24"/>
          <w:shd w:val="clear" w:color="auto" w:fill="FFFFFF"/>
        </w:rPr>
        <w:t>. The notepad concern is drawn from the fact that it houses the notes that were written by Mr. Belcamp. As a reminder to him that he should keep in contact both Bob and Maria at Widget Inc. since storage and safeguarding was paramount deed. It should be noted that both Maria and Bob might be aware of Mr. Jackson’s intentions as well as other significant information. The seizing and securing notepad step, in this case, involves taking the notepad Photogram and its location. Also, documenting the text on the notepad pages and placing the notepad into a large envelope referred to as standard evidence bag. Then use the custody log chain to document the item.</w:t>
      </w:r>
    </w:p>
    <w:p w:rsidR="009F2D53" w:rsidRDefault="009F2D53" w:rsidP="009F2D53">
      <w:pPr>
        <w:spacing w:after="0" w:line="480" w:lineRule="auto"/>
        <w:ind w:firstLine="720"/>
        <w:jc w:val="both"/>
        <w:rPr>
          <w:rFonts w:ascii="Times New Roman" w:hAnsi="Times New Roman" w:cs="Times New Roman"/>
          <w:sz w:val="24"/>
          <w:szCs w:val="24"/>
        </w:rPr>
      </w:pPr>
      <w:r w:rsidRPr="00F81461">
        <w:rPr>
          <w:rFonts w:ascii="Times New Roman" w:hAnsi="Times New Roman" w:cs="Times New Roman"/>
          <w:color w:val="000000" w:themeColor="text1"/>
          <w:sz w:val="24"/>
          <w:szCs w:val="24"/>
          <w:shd w:val="clear" w:color="auto" w:fill="FFFFFF"/>
        </w:rPr>
        <w:t>Thirdly, the Manila folder placed on the top shelf also presents non-digital</w:t>
      </w:r>
      <w:r w:rsidR="00747554">
        <w:rPr>
          <w:rFonts w:ascii="Times New Roman" w:hAnsi="Times New Roman" w:cs="Times New Roman"/>
          <w:color w:val="000000" w:themeColor="text1"/>
          <w:sz w:val="24"/>
          <w:szCs w:val="24"/>
          <w:shd w:val="clear" w:color="auto" w:fill="FFFFFF"/>
        </w:rPr>
        <w:t xml:space="preserve"> proof that needs to be searched</w:t>
      </w:r>
      <w:bookmarkStart w:id="0" w:name="_GoBack"/>
      <w:bookmarkEnd w:id="0"/>
      <w:r w:rsidRPr="00F81461">
        <w:rPr>
          <w:rFonts w:ascii="Times New Roman" w:hAnsi="Times New Roman" w:cs="Times New Roman"/>
          <w:color w:val="000000" w:themeColor="text1"/>
          <w:sz w:val="24"/>
          <w:szCs w:val="24"/>
          <w:shd w:val="clear" w:color="auto" w:fill="FFFFFF"/>
        </w:rPr>
        <w:t>. The reason being that it might contain significant documentation that investigators might utilize in capturing process</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Casey, Back, </w:t>
      </w:r>
      <w:r w:rsidRPr="006C2155">
        <w:rPr>
          <w:rFonts w:ascii="Times New Roman" w:hAnsi="Times New Roman" w:cs="Times New Roman"/>
          <w:sz w:val="24"/>
          <w:szCs w:val="24"/>
        </w:rPr>
        <w:t xml:space="preserve">&amp; </w:t>
      </w:r>
      <w:r>
        <w:rPr>
          <w:rFonts w:ascii="Times New Roman" w:hAnsi="Times New Roman" w:cs="Times New Roman"/>
          <w:sz w:val="24"/>
          <w:szCs w:val="24"/>
        </w:rPr>
        <w:t xml:space="preserve">Barnum, </w:t>
      </w:r>
      <w:r w:rsidRPr="006C2155">
        <w:rPr>
          <w:rFonts w:ascii="Times New Roman" w:hAnsi="Times New Roman" w:cs="Times New Roman"/>
          <w:sz w:val="24"/>
          <w:szCs w:val="24"/>
        </w:rPr>
        <w:t>2015</w:t>
      </w:r>
      <w:r>
        <w:rPr>
          <w:rFonts w:ascii="Times New Roman" w:hAnsi="Times New Roman" w:cs="Times New Roman"/>
          <w:sz w:val="24"/>
          <w:szCs w:val="24"/>
        </w:rPr>
        <w:t>)</w:t>
      </w:r>
      <w:r>
        <w:rPr>
          <w:rFonts w:ascii="Times New Roman" w:hAnsi="Times New Roman" w:cs="Times New Roman"/>
          <w:color w:val="000000" w:themeColor="text1"/>
          <w:sz w:val="24"/>
          <w:szCs w:val="24"/>
          <w:shd w:val="clear" w:color="auto" w:fill="FFFFFF"/>
        </w:rPr>
        <w:t>.</w:t>
      </w:r>
      <w:r w:rsidRPr="00F81461">
        <w:rPr>
          <w:rFonts w:ascii="Times New Roman" w:hAnsi="Times New Roman" w:cs="Times New Roman"/>
          <w:color w:val="000000" w:themeColor="text1"/>
          <w:sz w:val="24"/>
          <w:szCs w:val="24"/>
          <w:shd w:val="clear" w:color="auto" w:fill="FFFFFF"/>
        </w:rPr>
        <w:t xml:space="preserve"> The steps involves taking the manila folder photograph and the existing location and then documenting the manila folder pages and the written text. The third is placing the manila folder in a standard evident bag, and then the item is documented to the custody log chain. The latent fingerprints may also provide substantial evidence about Mr. Belcamp work area. Also, the desk that the law enforcement personnel can utilize to obtain fingerprints evidence scope.</w:t>
      </w:r>
    </w:p>
    <w:p w:rsidR="009F2D53" w:rsidRDefault="009F2D53">
      <w:r w:rsidRPr="009F2D53">
        <w:rPr>
          <w:rFonts w:ascii="Times New Roman" w:hAnsi="Times New Roman" w:cs="Times New Roman"/>
          <w:b/>
          <w:sz w:val="24"/>
        </w:rPr>
        <w:t>Q4</w:t>
      </w:r>
      <w:r>
        <w:t xml:space="preserve">. </w:t>
      </w:r>
    </w:p>
    <w:p w:rsidR="009F2D53" w:rsidRPr="007C4D20" w:rsidRDefault="009F2D53" w:rsidP="009F2D53">
      <w:pPr>
        <w:spacing w:after="0" w:line="480" w:lineRule="auto"/>
        <w:ind w:firstLine="720"/>
        <w:rPr>
          <w:rFonts w:ascii="Times New Roman" w:hAnsi="Times New Roman" w:cs="Times New Roman"/>
          <w:sz w:val="24"/>
          <w:szCs w:val="24"/>
        </w:rPr>
      </w:pPr>
      <w:r w:rsidRPr="007C4D20">
        <w:rPr>
          <w:rFonts w:ascii="Times New Roman" w:hAnsi="Times New Roman" w:cs="Times New Roman"/>
          <w:sz w:val="24"/>
          <w:szCs w:val="24"/>
        </w:rPr>
        <w:t xml:space="preserve">It is by the local agencies’ policies that all evidence should be listed before they are delivered for scrutiny and storage. It is also a requirement by the agencies that the pieces of evidence be snapped, assigned a unique tag, and recorded before they are secured for storage. Packaging materials for digital proof should be non-static. As a precaution to avoid any possible </w:t>
      </w:r>
      <w:r w:rsidRPr="007C4D20">
        <w:rPr>
          <w:rFonts w:ascii="Times New Roman" w:hAnsi="Times New Roman" w:cs="Times New Roman"/>
          <w:sz w:val="24"/>
          <w:szCs w:val="24"/>
        </w:rPr>
        <w:lastRenderedPageBreak/>
        <w:t>damage of fragile and digital evidence during the logistics, it is essential to pack all proofs in tamper-proof paper materials. Disconnection of power sources of the digital evidence is advisable to prevent distortion of the original evidence. In addition to that, any cell phone confiscated should be wrapped with material that is radiofrequency proof.</w:t>
      </w:r>
    </w:p>
    <w:p w:rsidR="009F2D53" w:rsidRPr="00F81461" w:rsidRDefault="009F2D53" w:rsidP="009F2D53">
      <w:pPr>
        <w:spacing w:after="0" w:line="480" w:lineRule="auto"/>
        <w:ind w:firstLine="720"/>
        <w:rPr>
          <w:rFonts w:ascii="Times New Roman" w:hAnsi="Times New Roman" w:cs="Times New Roman"/>
          <w:sz w:val="24"/>
          <w:szCs w:val="24"/>
        </w:rPr>
      </w:pPr>
      <w:r w:rsidRPr="007C4D20">
        <w:rPr>
          <w:rFonts w:ascii="Times New Roman" w:hAnsi="Times New Roman" w:cs="Times New Roman"/>
          <w:sz w:val="24"/>
          <w:szCs w:val="24"/>
        </w:rPr>
        <w:t>The evidence archive should be designed in a manner that guarantees the safety and also it should conform to the environmental standard for a digital storage facility. The security details of the facility should ensure that the forensic personnel does not possess any electronic devices when they access the evidence for scrutiny. As an additional security measure, any staff obtaining the evidence should be subjected to a two-step verification process. Furthermore, the evidence storage facility should be weather-tight, and its optimal storage condition kept in check. 24/7 manning of the facility is not optional. Again, for the sake of accountability, a particular person should be assigned the responsibility of overseeing all the dealings that involve the evidence. Precisely, the personnel should monitor the evidence in transit (both incoming and outgoing evidence). Installation of additional security facilities such as a CCTV camera and alarm system is essential for optimal security</w:t>
      </w:r>
      <w:r>
        <w:rPr>
          <w:rFonts w:ascii="Times New Roman" w:hAnsi="Times New Roman" w:cs="Times New Roman"/>
          <w:sz w:val="24"/>
          <w:szCs w:val="24"/>
        </w:rPr>
        <w:t xml:space="preserve"> (</w:t>
      </w:r>
      <w:r w:rsidRPr="00F97625">
        <w:rPr>
          <w:rFonts w:ascii="Times New Roman" w:hAnsi="Times New Roman" w:cs="Times New Roman"/>
          <w:sz w:val="24"/>
          <w:szCs w:val="24"/>
        </w:rPr>
        <w:t xml:space="preserve">Lillis, </w:t>
      </w:r>
      <w:r>
        <w:rPr>
          <w:rFonts w:ascii="Times New Roman" w:hAnsi="Times New Roman" w:cs="Times New Roman"/>
          <w:sz w:val="24"/>
          <w:szCs w:val="24"/>
        </w:rPr>
        <w:t xml:space="preserve">et al., </w:t>
      </w:r>
      <w:r w:rsidRPr="00F97625">
        <w:rPr>
          <w:rFonts w:ascii="Times New Roman" w:hAnsi="Times New Roman" w:cs="Times New Roman"/>
          <w:sz w:val="24"/>
          <w:szCs w:val="24"/>
        </w:rPr>
        <w:t>2016).</w:t>
      </w:r>
    </w:p>
    <w:p w:rsidR="009F2D53" w:rsidRPr="009F2D53" w:rsidRDefault="009F2D53">
      <w:pPr>
        <w:rPr>
          <w:rFonts w:ascii="Times New Roman" w:hAnsi="Times New Roman" w:cs="Times New Roman"/>
          <w:b/>
          <w:sz w:val="24"/>
        </w:rPr>
      </w:pPr>
      <w:r w:rsidRPr="009F2D53">
        <w:rPr>
          <w:rFonts w:ascii="Times New Roman" w:hAnsi="Times New Roman" w:cs="Times New Roman"/>
          <w:b/>
          <w:sz w:val="24"/>
        </w:rPr>
        <w:t xml:space="preserve">Q5. </w:t>
      </w:r>
    </w:p>
    <w:p w:rsidR="009F2D53" w:rsidRPr="00916F04" w:rsidRDefault="009F2D53" w:rsidP="009F2D53">
      <w:pPr>
        <w:spacing w:after="0" w:line="480" w:lineRule="auto"/>
        <w:ind w:firstLine="360"/>
        <w:rPr>
          <w:rFonts w:ascii="Times New Roman" w:hAnsi="Times New Roman" w:cs="Times New Roman"/>
          <w:sz w:val="24"/>
          <w:szCs w:val="24"/>
        </w:rPr>
      </w:pPr>
      <w:r w:rsidRPr="00916F04">
        <w:rPr>
          <w:rFonts w:ascii="Times New Roman" w:hAnsi="Times New Roman" w:cs="Times New Roman"/>
          <w:sz w:val="24"/>
          <w:szCs w:val="24"/>
        </w:rPr>
        <w:t>The outcome of the review of the Evidence Custody Document proved that the co-worker did not correctly describe both item one and item two. It is also correct to say that the thumb drive is the only item which was well defined. In addition to this, both the voice recorder and the hard drive are missing. Also, some very crucial information, which is capable of identifying the item without any doubt</w:t>
      </w:r>
      <w:r>
        <w:rPr>
          <w:rFonts w:ascii="Times New Roman" w:hAnsi="Times New Roman" w:cs="Times New Roman"/>
          <w:sz w:val="24"/>
          <w:szCs w:val="24"/>
        </w:rPr>
        <w:t xml:space="preserve"> (</w:t>
      </w:r>
      <w:r w:rsidRPr="00F97625">
        <w:rPr>
          <w:rFonts w:ascii="Times New Roman" w:hAnsi="Times New Roman" w:cs="Times New Roman"/>
          <w:sz w:val="24"/>
          <w:szCs w:val="24"/>
        </w:rPr>
        <w:t>Mat</w:t>
      </w:r>
      <w:r>
        <w:rPr>
          <w:rFonts w:ascii="Times New Roman" w:hAnsi="Times New Roman" w:cs="Times New Roman"/>
          <w:sz w:val="24"/>
          <w:szCs w:val="24"/>
        </w:rPr>
        <w:t xml:space="preserve">tsson, 2018). </w:t>
      </w:r>
      <w:r w:rsidRPr="00916F04">
        <w:rPr>
          <w:rFonts w:ascii="Times New Roman" w:hAnsi="Times New Roman" w:cs="Times New Roman"/>
          <w:sz w:val="24"/>
          <w:szCs w:val="24"/>
        </w:rPr>
        <w:t xml:space="preserve">First, let’s look at the voice recorder, it does not indicate the serial number, the condition of the item, and it also lacks the model number. Once evidence goes on a trial, there must be identifiers which are not familiar to ascertain its validity. Secondly, we will look at the hard drive, as it is in a voice recorder, it also lacks the model number as well as </w:t>
      </w:r>
      <w:r w:rsidRPr="00916F04">
        <w:rPr>
          <w:rFonts w:ascii="Times New Roman" w:hAnsi="Times New Roman" w:cs="Times New Roman"/>
          <w:sz w:val="24"/>
          <w:szCs w:val="24"/>
        </w:rPr>
        <w:lastRenderedPageBreak/>
        <w:t>the serial number. Contrary to the voice recorder, the hard drive has the details of its condition, but in this case, it does not entail the unique identification.</w:t>
      </w:r>
    </w:p>
    <w:p w:rsidR="009F2D53" w:rsidRPr="00916F04" w:rsidRDefault="009F2D53" w:rsidP="009F2D53">
      <w:pPr>
        <w:spacing w:after="0" w:line="480" w:lineRule="auto"/>
        <w:ind w:firstLine="360"/>
        <w:rPr>
          <w:rFonts w:ascii="Times New Roman" w:hAnsi="Times New Roman" w:cs="Times New Roman"/>
          <w:sz w:val="24"/>
          <w:szCs w:val="24"/>
        </w:rPr>
      </w:pPr>
      <w:r w:rsidRPr="00916F04">
        <w:rPr>
          <w:rFonts w:ascii="Times New Roman" w:hAnsi="Times New Roman" w:cs="Times New Roman"/>
          <w:sz w:val="24"/>
          <w:szCs w:val="24"/>
        </w:rPr>
        <w:t>From the document, the co-worker does not describe the place from where these items were obtained. For an excellent description, the co-worker needed to provide the office number and a belief location featuring a premise or a structure, which will not bring in doubts about the place where they were obtained</w:t>
      </w:r>
      <w:r>
        <w:rPr>
          <w:rFonts w:ascii="Times New Roman" w:hAnsi="Times New Roman" w:cs="Times New Roman"/>
          <w:sz w:val="24"/>
          <w:szCs w:val="24"/>
        </w:rPr>
        <w:t xml:space="preserve"> (</w:t>
      </w:r>
      <w:r w:rsidRPr="00F97625">
        <w:rPr>
          <w:rFonts w:ascii="Times New Roman" w:hAnsi="Times New Roman" w:cs="Times New Roman"/>
          <w:sz w:val="24"/>
          <w:szCs w:val="24"/>
        </w:rPr>
        <w:t>Hitchcock, Le-Kh</w:t>
      </w:r>
      <w:r>
        <w:rPr>
          <w:rFonts w:ascii="Times New Roman" w:hAnsi="Times New Roman" w:cs="Times New Roman"/>
          <w:sz w:val="24"/>
          <w:szCs w:val="24"/>
        </w:rPr>
        <w:t>ac, &amp; Scanlon, 2016)</w:t>
      </w:r>
      <w:r w:rsidRPr="00916F04">
        <w:rPr>
          <w:rFonts w:ascii="Times New Roman" w:hAnsi="Times New Roman" w:cs="Times New Roman"/>
          <w:sz w:val="24"/>
          <w:szCs w:val="24"/>
        </w:rPr>
        <w:t>.</w:t>
      </w:r>
      <w:r>
        <w:rPr>
          <w:rFonts w:ascii="Times New Roman" w:hAnsi="Times New Roman" w:cs="Times New Roman"/>
          <w:sz w:val="24"/>
          <w:szCs w:val="24"/>
        </w:rPr>
        <w:t xml:space="preserve"> </w:t>
      </w:r>
      <w:r w:rsidRPr="00916F04">
        <w:rPr>
          <w:rFonts w:ascii="Times New Roman" w:hAnsi="Times New Roman" w:cs="Times New Roman"/>
          <w:sz w:val="24"/>
          <w:szCs w:val="24"/>
        </w:rPr>
        <w:t>The voice recorder should have details in description such as it is bought from “Saul Mineroff Electronics, Inc.”, an Olympus brand, Model number: DM620 handheld tool sponsored by two AAA batteries, lacks the serial number, with LCD screen, Physical Dimensions: 2”Wx8”Lx1”D, mini-USB interface on the bottom, silver in color, black lanyard, Micro SD slot and microphone jack on the right side.</w:t>
      </w:r>
    </w:p>
    <w:p w:rsidR="009F2D53" w:rsidRDefault="009F2D53" w:rsidP="009F2D53">
      <w:pPr>
        <w:spacing w:after="0" w:line="480" w:lineRule="auto"/>
        <w:rPr>
          <w:rFonts w:ascii="Times New Roman" w:hAnsi="Times New Roman" w:cs="Times New Roman"/>
          <w:sz w:val="24"/>
          <w:szCs w:val="24"/>
        </w:rPr>
      </w:pPr>
      <w:r w:rsidRPr="00916F04">
        <w:rPr>
          <w:rFonts w:ascii="Times New Roman" w:hAnsi="Times New Roman" w:cs="Times New Roman"/>
          <w:sz w:val="24"/>
          <w:szCs w:val="24"/>
        </w:rPr>
        <w:t>On the other hand, the hand drive should have details in the description, such as Brand: Digital and Model number: WD10EARS.  Also, Serial number: WMAZA0202091 and physical size dimensions: 4” Wx6” Lx1” D should be seen</w:t>
      </w:r>
      <w:r>
        <w:rPr>
          <w:rFonts w:ascii="Times New Roman" w:hAnsi="Times New Roman" w:cs="Times New Roman"/>
          <w:sz w:val="24"/>
          <w:szCs w:val="24"/>
        </w:rPr>
        <w:t xml:space="preserve"> (</w:t>
      </w:r>
      <w:r w:rsidRPr="00F97625">
        <w:rPr>
          <w:rFonts w:ascii="Times New Roman" w:hAnsi="Times New Roman" w:cs="Times New Roman"/>
          <w:sz w:val="24"/>
          <w:szCs w:val="24"/>
        </w:rPr>
        <w:t>Hitchcock, Le-Kh</w:t>
      </w:r>
      <w:r>
        <w:rPr>
          <w:rFonts w:ascii="Times New Roman" w:hAnsi="Times New Roman" w:cs="Times New Roman"/>
          <w:sz w:val="24"/>
          <w:szCs w:val="24"/>
        </w:rPr>
        <w:t>ac, &amp; Scanlon, 2016)</w:t>
      </w:r>
      <w:r w:rsidRPr="00916F04">
        <w:rPr>
          <w:rFonts w:ascii="Times New Roman" w:hAnsi="Times New Roman" w:cs="Times New Roman"/>
          <w:sz w:val="24"/>
          <w:szCs w:val="24"/>
        </w:rPr>
        <w:t>. It should also comprise of the partially torn sticker and storage of one terabyte. A space of one terabyte for both white decal and black lettering is also required. Also, on cable ports, made of aluminum metal and exterior part made of black plastic, 64MB cache, and lastly SATA drive.</w:t>
      </w:r>
    </w:p>
    <w:p w:rsidR="009F2D53" w:rsidRDefault="009F2D53">
      <w:pPr>
        <w:rPr>
          <w:rFonts w:ascii="Times New Roman" w:hAnsi="Times New Roman" w:cs="Times New Roman"/>
          <w:sz w:val="24"/>
          <w:szCs w:val="24"/>
        </w:rPr>
      </w:pPr>
      <w:r>
        <w:rPr>
          <w:rFonts w:ascii="Times New Roman" w:hAnsi="Times New Roman" w:cs="Times New Roman"/>
          <w:sz w:val="24"/>
          <w:szCs w:val="24"/>
        </w:rPr>
        <w:br w:type="page"/>
      </w:r>
    </w:p>
    <w:p w:rsidR="009F2D53" w:rsidRDefault="009F2D53" w:rsidP="009F2D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2D53" w:rsidRDefault="009F2D53" w:rsidP="009F2D53">
      <w:pPr>
        <w:spacing w:after="0" w:line="480" w:lineRule="auto"/>
        <w:ind w:left="720" w:hanging="720"/>
        <w:rPr>
          <w:rFonts w:ascii="Times New Roman" w:hAnsi="Times New Roman" w:cs="Times New Roman"/>
          <w:sz w:val="24"/>
          <w:szCs w:val="24"/>
        </w:rPr>
      </w:pPr>
      <w:r w:rsidRPr="00B768A8">
        <w:rPr>
          <w:rFonts w:ascii="Times New Roman" w:hAnsi="Times New Roman" w:cs="Times New Roman"/>
          <w:sz w:val="24"/>
          <w:szCs w:val="24"/>
        </w:rPr>
        <w:t>Carr, J. G. (2018). Search Warrant,[REDACTED].</w:t>
      </w:r>
    </w:p>
    <w:p w:rsidR="009F2D53" w:rsidRDefault="009F2D53" w:rsidP="009F2D53">
      <w:pPr>
        <w:spacing w:after="0" w:line="480" w:lineRule="auto"/>
        <w:ind w:left="720" w:hanging="720"/>
        <w:rPr>
          <w:rFonts w:ascii="Times New Roman" w:hAnsi="Times New Roman" w:cs="Times New Roman"/>
          <w:sz w:val="24"/>
          <w:szCs w:val="24"/>
        </w:rPr>
      </w:pPr>
      <w:r w:rsidRPr="006C2155">
        <w:rPr>
          <w:rFonts w:ascii="Times New Roman" w:hAnsi="Times New Roman" w:cs="Times New Roman"/>
          <w:sz w:val="24"/>
          <w:szCs w:val="24"/>
        </w:rPr>
        <w:t>Casey, E., Back, G., &amp; Barnum, S. (2015). Leveraging CybOX™ to standardize representation and exchange of digital forensic information. </w:t>
      </w:r>
      <w:r w:rsidRPr="006C2155">
        <w:rPr>
          <w:rFonts w:ascii="Times New Roman" w:hAnsi="Times New Roman" w:cs="Times New Roman"/>
          <w:i/>
          <w:iCs/>
          <w:sz w:val="24"/>
          <w:szCs w:val="24"/>
        </w:rPr>
        <w:t>Digital Investigation</w:t>
      </w:r>
      <w:r w:rsidRPr="006C2155">
        <w:rPr>
          <w:rFonts w:ascii="Times New Roman" w:hAnsi="Times New Roman" w:cs="Times New Roman"/>
          <w:sz w:val="24"/>
          <w:szCs w:val="24"/>
        </w:rPr>
        <w:t>, </w:t>
      </w:r>
      <w:r w:rsidRPr="006C2155">
        <w:rPr>
          <w:rFonts w:ascii="Times New Roman" w:hAnsi="Times New Roman" w:cs="Times New Roman"/>
          <w:i/>
          <w:iCs/>
          <w:sz w:val="24"/>
          <w:szCs w:val="24"/>
        </w:rPr>
        <w:t>12</w:t>
      </w:r>
      <w:r w:rsidRPr="006C2155">
        <w:rPr>
          <w:rFonts w:ascii="Times New Roman" w:hAnsi="Times New Roman" w:cs="Times New Roman"/>
          <w:sz w:val="24"/>
          <w:szCs w:val="24"/>
        </w:rPr>
        <w:t>, S102-S110.</w:t>
      </w:r>
    </w:p>
    <w:p w:rsidR="009F2D53" w:rsidRDefault="009F2D53" w:rsidP="009F2D53">
      <w:pPr>
        <w:spacing w:after="0" w:line="480" w:lineRule="auto"/>
        <w:ind w:left="720" w:hanging="720"/>
        <w:rPr>
          <w:rFonts w:ascii="Times New Roman" w:hAnsi="Times New Roman" w:cs="Times New Roman"/>
          <w:sz w:val="24"/>
          <w:szCs w:val="24"/>
        </w:rPr>
      </w:pPr>
      <w:r w:rsidRPr="00F97625">
        <w:rPr>
          <w:rFonts w:ascii="Times New Roman" w:hAnsi="Times New Roman" w:cs="Times New Roman"/>
          <w:sz w:val="24"/>
          <w:szCs w:val="24"/>
        </w:rPr>
        <w:t>Grimm, P. W., Capra, D. J., &amp; Joseph, G. P. (2017). Authenticating Digital Evidence. </w:t>
      </w:r>
      <w:r w:rsidRPr="00F97625">
        <w:rPr>
          <w:rFonts w:ascii="Times New Roman" w:hAnsi="Times New Roman" w:cs="Times New Roman"/>
          <w:i/>
          <w:iCs/>
          <w:sz w:val="24"/>
          <w:szCs w:val="24"/>
        </w:rPr>
        <w:t>Baylor L. Rev.</w:t>
      </w:r>
      <w:r w:rsidRPr="00F97625">
        <w:rPr>
          <w:rFonts w:ascii="Times New Roman" w:hAnsi="Times New Roman" w:cs="Times New Roman"/>
          <w:sz w:val="24"/>
          <w:szCs w:val="24"/>
        </w:rPr>
        <w:t>, </w:t>
      </w:r>
      <w:r w:rsidRPr="00F97625">
        <w:rPr>
          <w:rFonts w:ascii="Times New Roman" w:hAnsi="Times New Roman" w:cs="Times New Roman"/>
          <w:i/>
          <w:iCs/>
          <w:sz w:val="24"/>
          <w:szCs w:val="24"/>
        </w:rPr>
        <w:t>69</w:t>
      </w:r>
      <w:r w:rsidRPr="00F97625">
        <w:rPr>
          <w:rFonts w:ascii="Times New Roman" w:hAnsi="Times New Roman" w:cs="Times New Roman"/>
          <w:sz w:val="24"/>
          <w:szCs w:val="24"/>
        </w:rPr>
        <w:t>, 1.</w:t>
      </w:r>
    </w:p>
    <w:p w:rsidR="009F2D53" w:rsidRDefault="009F2D53" w:rsidP="009F2D53">
      <w:pPr>
        <w:spacing w:after="0" w:line="480" w:lineRule="auto"/>
        <w:ind w:left="720" w:hanging="720"/>
        <w:rPr>
          <w:rFonts w:ascii="Times New Roman" w:hAnsi="Times New Roman" w:cs="Times New Roman"/>
          <w:sz w:val="24"/>
          <w:szCs w:val="24"/>
        </w:rPr>
      </w:pPr>
      <w:r w:rsidRPr="00F97625">
        <w:rPr>
          <w:rFonts w:ascii="Times New Roman" w:hAnsi="Times New Roman" w:cs="Times New Roman"/>
          <w:sz w:val="24"/>
          <w:szCs w:val="24"/>
        </w:rPr>
        <w:t>Hitchcock, B., Le-Khac, N. A., &amp; Scanlon, M. (2016). Tiered forensic methodology model for Digital Field Triage by non-digital evidence specialists. </w:t>
      </w:r>
      <w:r w:rsidRPr="00F97625">
        <w:rPr>
          <w:rFonts w:ascii="Times New Roman" w:hAnsi="Times New Roman" w:cs="Times New Roman"/>
          <w:i/>
          <w:iCs/>
          <w:sz w:val="24"/>
          <w:szCs w:val="24"/>
        </w:rPr>
        <w:t>Digital investigation</w:t>
      </w:r>
      <w:r w:rsidRPr="00F97625">
        <w:rPr>
          <w:rFonts w:ascii="Times New Roman" w:hAnsi="Times New Roman" w:cs="Times New Roman"/>
          <w:sz w:val="24"/>
          <w:szCs w:val="24"/>
        </w:rPr>
        <w:t>, </w:t>
      </w:r>
      <w:r w:rsidRPr="00F97625">
        <w:rPr>
          <w:rFonts w:ascii="Times New Roman" w:hAnsi="Times New Roman" w:cs="Times New Roman"/>
          <w:i/>
          <w:iCs/>
          <w:sz w:val="24"/>
          <w:szCs w:val="24"/>
        </w:rPr>
        <w:t>16</w:t>
      </w:r>
      <w:r w:rsidRPr="00F97625">
        <w:rPr>
          <w:rFonts w:ascii="Times New Roman" w:hAnsi="Times New Roman" w:cs="Times New Roman"/>
          <w:sz w:val="24"/>
          <w:szCs w:val="24"/>
        </w:rPr>
        <w:t>, S75-S85.</w:t>
      </w:r>
    </w:p>
    <w:p w:rsidR="009F2D53" w:rsidRDefault="009F2D53" w:rsidP="009F2D53">
      <w:pPr>
        <w:spacing w:after="0" w:line="480" w:lineRule="auto"/>
        <w:ind w:left="720" w:hanging="720"/>
        <w:rPr>
          <w:rFonts w:ascii="Times New Roman" w:hAnsi="Times New Roman" w:cs="Times New Roman"/>
          <w:sz w:val="24"/>
          <w:szCs w:val="24"/>
        </w:rPr>
      </w:pPr>
      <w:r w:rsidRPr="00F97625">
        <w:rPr>
          <w:rFonts w:ascii="Times New Roman" w:hAnsi="Times New Roman" w:cs="Times New Roman"/>
          <w:sz w:val="24"/>
          <w:szCs w:val="24"/>
        </w:rPr>
        <w:t>Lillis, D., Becker, B., O'Sullivan, T., &amp; Scanlon, M. (2016). Current challenges and future research areas for digital forensic investigation. </w:t>
      </w:r>
      <w:r w:rsidRPr="00F97625">
        <w:rPr>
          <w:rFonts w:ascii="Times New Roman" w:hAnsi="Times New Roman" w:cs="Times New Roman"/>
          <w:i/>
          <w:iCs/>
          <w:sz w:val="24"/>
          <w:szCs w:val="24"/>
        </w:rPr>
        <w:t>arXiv preprint arXiv:1604.03850</w:t>
      </w:r>
      <w:r w:rsidRPr="00F97625">
        <w:rPr>
          <w:rFonts w:ascii="Times New Roman" w:hAnsi="Times New Roman" w:cs="Times New Roman"/>
          <w:sz w:val="24"/>
          <w:szCs w:val="24"/>
        </w:rPr>
        <w:t>.</w:t>
      </w:r>
    </w:p>
    <w:p w:rsidR="009F2D53" w:rsidRDefault="009F2D53" w:rsidP="009F2D53">
      <w:pPr>
        <w:spacing w:after="0" w:line="480" w:lineRule="auto"/>
        <w:ind w:left="720" w:hanging="720"/>
        <w:rPr>
          <w:rFonts w:ascii="Times New Roman" w:hAnsi="Times New Roman" w:cs="Times New Roman"/>
          <w:sz w:val="24"/>
          <w:szCs w:val="24"/>
        </w:rPr>
      </w:pPr>
      <w:r w:rsidRPr="00F97625">
        <w:rPr>
          <w:rFonts w:ascii="Times New Roman" w:hAnsi="Times New Roman" w:cs="Times New Roman"/>
          <w:sz w:val="24"/>
          <w:szCs w:val="24"/>
        </w:rPr>
        <w:t>Mattsson, U. (2018). </w:t>
      </w:r>
      <w:r w:rsidRPr="00F97625">
        <w:rPr>
          <w:rFonts w:ascii="Times New Roman" w:hAnsi="Times New Roman" w:cs="Times New Roman"/>
          <w:i/>
          <w:iCs/>
          <w:sz w:val="24"/>
          <w:szCs w:val="24"/>
        </w:rPr>
        <w:t>U.S. Patent No. 9,971,906</w:t>
      </w:r>
      <w:r w:rsidRPr="00F97625">
        <w:rPr>
          <w:rFonts w:ascii="Times New Roman" w:hAnsi="Times New Roman" w:cs="Times New Roman"/>
          <w:sz w:val="24"/>
          <w:szCs w:val="24"/>
        </w:rPr>
        <w:t>. Washington, DC: U.S. Patent and Trademark Office.</w:t>
      </w:r>
    </w:p>
    <w:p w:rsidR="009F2D53" w:rsidRPr="00916F04" w:rsidRDefault="009F2D53" w:rsidP="009F2D53">
      <w:pPr>
        <w:spacing w:after="0" w:line="480" w:lineRule="auto"/>
        <w:ind w:left="720" w:hanging="720"/>
        <w:rPr>
          <w:rFonts w:ascii="Times New Roman" w:hAnsi="Times New Roman" w:cs="Times New Roman"/>
          <w:sz w:val="24"/>
          <w:szCs w:val="24"/>
        </w:rPr>
      </w:pPr>
    </w:p>
    <w:p w:rsidR="009F2D53" w:rsidRDefault="009F2D53" w:rsidP="009F2D53">
      <w:pPr>
        <w:spacing w:after="0" w:line="480" w:lineRule="auto"/>
        <w:rPr>
          <w:rFonts w:ascii="Times New Roman" w:hAnsi="Times New Roman" w:cs="Times New Roman"/>
          <w:sz w:val="24"/>
          <w:szCs w:val="24"/>
        </w:rPr>
      </w:pPr>
    </w:p>
    <w:p w:rsidR="009F2D53" w:rsidRDefault="009F2D53" w:rsidP="009F2D53">
      <w:pPr>
        <w:rPr>
          <w:rFonts w:ascii="Times New Roman" w:hAnsi="Times New Roman" w:cs="Times New Roman"/>
          <w:sz w:val="24"/>
          <w:szCs w:val="24"/>
        </w:rPr>
      </w:pPr>
      <w:r>
        <w:rPr>
          <w:rFonts w:ascii="Times New Roman" w:hAnsi="Times New Roman" w:cs="Times New Roman"/>
          <w:sz w:val="24"/>
          <w:szCs w:val="24"/>
        </w:rPr>
        <w:br w:type="page"/>
      </w:r>
    </w:p>
    <w:p w:rsidR="009F2D53" w:rsidRDefault="009F2D53"/>
    <w:sectPr w:rsidR="009F2D53" w:rsidSect="009F2D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94C" w:rsidRDefault="006B794C" w:rsidP="009F2D53">
      <w:pPr>
        <w:spacing w:after="0" w:line="240" w:lineRule="auto"/>
      </w:pPr>
      <w:r>
        <w:separator/>
      </w:r>
    </w:p>
  </w:endnote>
  <w:endnote w:type="continuationSeparator" w:id="0">
    <w:p w:rsidR="006B794C" w:rsidRDefault="006B794C" w:rsidP="009F2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94C" w:rsidRDefault="006B794C" w:rsidP="009F2D53">
      <w:pPr>
        <w:spacing w:after="0" w:line="240" w:lineRule="auto"/>
      </w:pPr>
      <w:r>
        <w:separator/>
      </w:r>
    </w:p>
  </w:footnote>
  <w:footnote w:type="continuationSeparator" w:id="0">
    <w:p w:rsidR="006B794C" w:rsidRDefault="006B794C" w:rsidP="009F2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D53" w:rsidRDefault="009F2D53" w:rsidP="009F2D53">
    <w:pPr>
      <w:pStyle w:val="Header"/>
      <w:tabs>
        <w:tab w:val="clear" w:pos="4680"/>
      </w:tabs>
    </w:pPr>
    <w:r w:rsidRPr="009F2D53">
      <w:rPr>
        <w:rFonts w:ascii="Times New Roman" w:hAnsi="Times New Roman" w:cs="Times New Roman"/>
        <w:sz w:val="24"/>
      </w:rPr>
      <w:t>INVESTIGATIVE COLLECTION OF EVIDENCE</w:t>
    </w:r>
    <w:r w:rsidRPr="009F2D53">
      <w:rPr>
        <w:rFonts w:ascii="Times New Roman" w:hAnsi="Times New Roman" w:cs="Times New Roman"/>
        <w:sz w:val="24"/>
      </w:rPr>
      <w:tab/>
    </w:r>
    <w:r w:rsidRPr="009F2D53">
      <w:rPr>
        <w:rFonts w:ascii="Times New Roman" w:hAnsi="Times New Roman" w:cs="Times New Roman"/>
        <w:sz w:val="24"/>
      </w:rPr>
      <w:fldChar w:fldCharType="begin"/>
    </w:r>
    <w:r w:rsidRPr="009F2D53">
      <w:rPr>
        <w:rFonts w:ascii="Times New Roman" w:hAnsi="Times New Roman" w:cs="Times New Roman"/>
        <w:sz w:val="24"/>
      </w:rPr>
      <w:instrText xml:space="preserve"> PAGE   \* MERGEFORMAT </w:instrText>
    </w:r>
    <w:r w:rsidRPr="009F2D53">
      <w:rPr>
        <w:rFonts w:ascii="Times New Roman" w:hAnsi="Times New Roman" w:cs="Times New Roman"/>
        <w:sz w:val="24"/>
      </w:rPr>
      <w:fldChar w:fldCharType="separate"/>
    </w:r>
    <w:r w:rsidR="00747554">
      <w:rPr>
        <w:rFonts w:ascii="Times New Roman" w:hAnsi="Times New Roman" w:cs="Times New Roman"/>
        <w:noProof/>
        <w:sz w:val="24"/>
      </w:rPr>
      <w:t>9</w:t>
    </w:r>
    <w:r w:rsidRPr="009F2D53">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D53" w:rsidRPr="009F2D53" w:rsidRDefault="009F2D53" w:rsidP="009F2D53">
    <w:pPr>
      <w:pStyle w:val="Header"/>
      <w:tabs>
        <w:tab w:val="clear" w:pos="4680"/>
      </w:tabs>
      <w:rPr>
        <w:rFonts w:ascii="Times New Roman" w:hAnsi="Times New Roman" w:cs="Times New Roman"/>
        <w:sz w:val="24"/>
      </w:rPr>
    </w:pPr>
    <w:r w:rsidRPr="009F2D53">
      <w:rPr>
        <w:rFonts w:ascii="Times New Roman" w:hAnsi="Times New Roman" w:cs="Times New Roman"/>
        <w:sz w:val="24"/>
      </w:rPr>
      <w:t>Running head: INVESTIGATIVE COLLECTION OF EVIDENCE</w:t>
    </w:r>
    <w:r w:rsidRPr="009F2D53">
      <w:rPr>
        <w:rFonts w:ascii="Times New Roman" w:hAnsi="Times New Roman" w:cs="Times New Roman"/>
        <w:sz w:val="24"/>
      </w:rPr>
      <w:tab/>
    </w:r>
    <w:r w:rsidRPr="009F2D53">
      <w:rPr>
        <w:rFonts w:ascii="Times New Roman" w:hAnsi="Times New Roman" w:cs="Times New Roman"/>
        <w:sz w:val="24"/>
      </w:rPr>
      <w:fldChar w:fldCharType="begin"/>
    </w:r>
    <w:r w:rsidRPr="009F2D53">
      <w:rPr>
        <w:rFonts w:ascii="Times New Roman" w:hAnsi="Times New Roman" w:cs="Times New Roman"/>
        <w:sz w:val="24"/>
      </w:rPr>
      <w:instrText xml:space="preserve"> PAGE   \* MERGEFORMAT </w:instrText>
    </w:r>
    <w:r w:rsidRPr="009F2D53">
      <w:rPr>
        <w:rFonts w:ascii="Times New Roman" w:hAnsi="Times New Roman" w:cs="Times New Roman"/>
        <w:sz w:val="24"/>
      </w:rPr>
      <w:fldChar w:fldCharType="separate"/>
    </w:r>
    <w:r>
      <w:rPr>
        <w:rFonts w:ascii="Times New Roman" w:hAnsi="Times New Roman" w:cs="Times New Roman"/>
        <w:noProof/>
        <w:sz w:val="24"/>
      </w:rPr>
      <w:t>1</w:t>
    </w:r>
    <w:r w:rsidRPr="009F2D53">
      <w:rPr>
        <w:rFonts w:ascii="Times New Roman" w:hAnsi="Times New Roman" w:cs="Times New Roman"/>
        <w:noProof/>
        <w:sz w:val="24"/>
      </w:rPr>
      <w:fldChar w:fldCharType="end"/>
    </w:r>
  </w:p>
  <w:p w:rsidR="009F2D53" w:rsidRDefault="009F2D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D53"/>
    <w:rsid w:val="00257349"/>
    <w:rsid w:val="003F0BD7"/>
    <w:rsid w:val="00602328"/>
    <w:rsid w:val="006A5E9F"/>
    <w:rsid w:val="006B794C"/>
    <w:rsid w:val="00747554"/>
    <w:rsid w:val="00893AE8"/>
    <w:rsid w:val="008D5387"/>
    <w:rsid w:val="009F2D53"/>
    <w:rsid w:val="00A46B8F"/>
    <w:rsid w:val="00A56BEF"/>
    <w:rsid w:val="00CB7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14ECB7-548E-4C45-B94C-EFE6DE89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D53"/>
  </w:style>
  <w:style w:type="paragraph" w:styleId="Footer">
    <w:name w:val="footer"/>
    <w:basedOn w:val="Normal"/>
    <w:link w:val="FooterChar"/>
    <w:uiPriority w:val="99"/>
    <w:unhideWhenUsed/>
    <w:rsid w:val="009F2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1867</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2019-09-23T09:50:00Z</dcterms:created>
  <dcterms:modified xsi:type="dcterms:W3CDTF">2019-09-23T10:11:00Z</dcterms:modified>
</cp:coreProperties>
</file>